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vary</w:t>
      </w:r>
      <w:r>
        <w:t xml:space="preserve"> </w:t>
      </w:r>
      <w:r>
        <w:t xml:space="preserve">in</w:t>
      </w:r>
      <w:r>
        <w:t xml:space="preserve"> </w:t>
      </w:r>
      <w:r>
        <w:t xml:space="preserve">their</w:t>
      </w:r>
      <w:r>
        <w:t xml:space="preserve"> </w:t>
      </w:r>
      <w:r>
        <w:t xml:space="preserve">application</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relatively</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in the atmosphere as well as in sediments.</w:t>
      </w:r>
      <w:r>
        <w:t xml:space="preserve"> </w:t>
      </w:r>
      <w:r>
        <w:t xml:space="preserve">This isotope, with a half-life of 22.23</w:t>
      </w:r>
      <m:oMath>
        <m:r>
          <m:rPr>
            <m:sty m:val="p"/>
          </m:rPr>
          <m:t>±</m:t>
        </m:r>
      </m:oMath>
      <w:r>
        <w:t xml:space="preserve">0.12 years, is commonly used to date recently accumulated sediments (</w:t>
      </w:r>
      <m:oMath>
        <m:r>
          <m:rPr>
            <m:sty m:val="p"/>
          </m:rPr>
          <m:t>&lt;</m:t>
        </m:r>
        <m:r>
          <m:t>150</m:t>
        </m:r>
      </m:oMath>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Such environmental studies strongly rely on the accuracy of chronologies to correctly assign dates to geological, chemical, biological and ecological changes.</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Pb-dating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(1) when a suitable portion of the excess-</w:t>
      </w:r>
      <m:oMath>
        <m:sSup>
          <m:e>
            <m:r>
              <m:t>​</m:t>
            </m:r>
          </m:e>
          <m:sup>
            <m:r>
              <m:t>210</m:t>
            </m:r>
          </m:sup>
        </m:sSup>
      </m:oMath>
      <w:r>
        <w:t xml:space="preserve">Pb (atmospheric and water column</w:t>
      </w:r>
      <w:r>
        <w:t xml:space="preserve"> </w:t>
      </w:r>
      <m:oMath>
        <m:sSup>
          <m:e>
            <m:r>
              <m:t>​</m:t>
            </m:r>
          </m:e>
          <m:sup>
            <m:r>
              <m:t>210</m:t>
            </m:r>
          </m:sup>
        </m:sSup>
      </m:oMath>
      <w:r>
        <w:t xml:space="preserve">Pb) decay curve is measured, which represents the total inventory of</w:t>
      </w:r>
      <w:r>
        <w:t xml:space="preserve"> </w:t>
      </w:r>
      <m:oMath>
        <m:sSup>
          <m:e>
            <m:r>
              <m:t>​</m:t>
            </m:r>
          </m:e>
          <m:sup>
            <m:r>
              <m:t>210</m:t>
            </m:r>
          </m:sup>
        </m:sSup>
      </m:oMath>
      <w:r>
        <w:t xml:space="preserve">Pb from deposition and runoff, and (2) when certain assumptions about the sedimentation process are met.</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for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the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and user decision of resources (sample availability, time and budget) allocated to developing the age-depth model.</w:t>
      </w:r>
    </w:p>
    <w:p>
      <w:pPr>
        <w:pStyle w:val="BodyText"/>
      </w:pPr>
      <w:r>
        <w:t xml:space="preserve">The paper is organized as follows:</w:t>
      </w:r>
      <w:r>
        <w:t xml:space="preserve"> </w:t>
      </w:r>
      <w:r>
        <w:t xml:space="preserve">Section 2 presents the tools we use for the model comparison, describing the three different sedimentation scenario simulations.</w:t>
      </w:r>
      <w:r>
        <w:t xml:space="preserve"> </w:t>
      </w:r>
      <w:r>
        <w:t xml:space="preserve">Section 3 compares results from both models for both the overall chronologies and for single depths.</w:t>
      </w:r>
      <w:r>
        <w:t xml:space="preserve"> </w:t>
      </w:r>
      <w:r>
        <w:t xml:space="preserve">Section 4 demostrares the impact of expert revisions on the CRS model.</w:t>
      </w:r>
      <w:r>
        <w:t xml:space="preserve"> </w:t>
      </w:r>
      <w:r>
        <w:t xml:space="preserve">Lastly, Section 5 presents the conclusions and discussion of the results obtained in section 3.</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varying assumptions to achieve different chronologies.</w:t>
      </w:r>
      <w:r>
        <w:t xml:space="preserve"> </w:t>
      </w:r>
      <w:r>
        <w:t xml:space="preserve">It is important to note that all these models,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-for continental sediments- and/or water column</w:t>
      </w:r>
      <w:r>
        <w:t xml:space="preserve"> </w:t>
      </w:r>
      <m:oMath>
        <m:sSup>
          <m:e>
            <m:r>
              <m:t>​</m:t>
            </m:r>
          </m:e>
          <m:sup>
            <m:r>
              <m:t>210</m:t>
            </m:r>
          </m:sup>
        </m:sSup>
      </m:oMath>
      <w:r>
        <w:t xml:space="preserve">Pb for marine sediments .</w:t>
      </w:r>
      <w:r>
        <w:t xml:space="preserve"> </w:t>
      </w:r>
      <w:r>
        <w:t xml:space="preserve">Considering that almost any sediment contains some level of local</w:t>
      </w:r>
      <w:r>
        <w:t xml:space="preserve"> </w:t>
      </w:r>
      <m:oMath>
        <m:sSup>
          <m:e>
            <m:r>
              <m:t>​</m:t>
            </m:r>
          </m:e>
          <m:sup>
            <m:r>
              <m:t>210</m:t>
            </m:r>
          </m:sup>
        </m:sSup>
      </m:oMath>
      <w:r>
        <w:t xml:space="preserve">Pb (i.e., supported</w:t>
      </w:r>
      <w:r>
        <w:t xml:space="preserve"> </w:t>
      </w:r>
      <m:oMath>
        <m:sSup>
          <m:e>
            <m:r>
              <m:t>​</m:t>
            </m:r>
          </m:e>
          <m:sup>
            <m:r>
              <m:t>210</m:t>
            </m:r>
          </m:sup>
        </m:sSup>
      </m:oMath>
      <w:r>
        <w:t xml:space="preserve">Pb), which is constantly replenished, and it is indistinguishable from the excess</w:t>
      </w:r>
      <w:r>
        <w:t xml:space="preserve"> </w:t>
      </w:r>
      <m:oMath>
        <m:sSup>
          <m:e>
            <m:r>
              <m:t>​</m:t>
            </m:r>
          </m:e>
          <m:sup>
            <m:r>
              <m:t>210</m:t>
            </m:r>
          </m:sup>
        </m:sSup>
      </m:oMath>
      <w:r>
        <w:t xml:space="preserve">Pb, the proper estimation of the excess</w:t>
      </w:r>
      <w:r>
        <w:t xml:space="preserve"> </w:t>
      </w:r>
      <m:oMath>
        <m:sSup>
          <m:e>
            <m:r>
              <m:t>​</m:t>
            </m:r>
          </m:e>
          <m:sup>
            <m:r>
              <m:t>210</m:t>
            </m:r>
          </m:sup>
        </m:sSup>
      </m:oMath>
      <w:r>
        <w:t xml:space="preserve">Pb is critical.</w:t>
      </w:r>
      <w:r>
        <w:t xml:space="preserve"> </w:t>
      </w:r>
      <w:r>
        <w:t xml:space="preserve">In this section, we will describe how each model deals with the supported-excess</w:t>
      </w:r>
      <w:r>
        <w:t xml:space="preserve"> </w:t>
      </w:r>
      <m:oMath>
        <m:sSup>
          <m:e>
            <m:r>
              <m:t>​</m:t>
            </m:r>
          </m:e>
          <m:sup>
            <m:r>
              <m:t>210</m:t>
            </m:r>
          </m:sup>
        </m:sSup>
      </m:oMath>
      <w:r>
        <w:t xml:space="preserve">Pb.</w:t>
      </w:r>
    </w:p>
    <w:bookmarkStart w:id="31" w:name="data"/>
    <w:p>
      <w:pPr>
        <w:pStyle w:val="Heading2"/>
      </w:pPr>
      <w:r>
        <w:t xml:space="preserve">Data</w:t>
      </w:r>
    </w:p>
    <w:p>
      <w:pPr>
        <w:pStyle w:val="FirstParagraph"/>
      </w:pPr>
      <w:r>
        <w:t xml:space="preserve">In order to introduce the nature of the data which these models use to create an age-depth model, we used the data presented by</w:t>
      </w:r>
      <w:r>
        <w:t xml:space="preserve"> </w:t>
      </w:r>
      <w:r>
        <w:t xml:space="preserve">[@Sanchez-Cabeza2012]</w:t>
      </w:r>
      <w:r>
        <w:t xml:space="preserve">, 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w:t>
      </w:r>
      <w:r>
        <w:t xml:space="preserve"> </w:t>
      </w:r>
      <m:oMath>
        <m:sSup>
          <m:e>
            <m:r>
              <m:t>​</m:t>
            </m:r>
          </m:e>
          <m:sup>
            <m:r>
              <m:t>226</m:t>
            </m:r>
          </m:sup>
        </m:sSup>
      </m:oMath>
      <w:r>
        <w:t xml:space="preserve">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(CIC) model</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the decrease of excess 210Pb monotonically down-core (uncommon in case of variable sedimentation), otherwise, deeper sections with higher concentrations would be younger (age reversal).</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application is mostly limited to early users or when other models’ requirements are not met.</w:t>
      </w:r>
      <w:r>
        <w:t xml:space="preserve"> </w:t>
      </w:r>
      <w:r>
        <w:t xml:space="preserve">An example of the use of this model is shown at the end of this section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w:t>
      </w:r>
      <w:r>
        <w:t xml:space="preserve"> </w:t>
      </w:r>
      <w:r>
        <w:t xml:space="preserve">. In order to allow for flexibility in the sedimentation rate, the CRS model uses remaining activity,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requires that the sediment be measured to the point where excess</w:t>
      </w:r>
      <w:r>
        <w:t xml:space="preserve"> </w:t>
      </w:r>
      <m:oMath>
        <m:sSup>
          <m:e>
            <m:r>
              <m:t>​</m:t>
            </m:r>
          </m:e>
          <m:sup>
            <m:r>
              <m:t>210</m:t>
            </m:r>
          </m:sup>
        </m:sSup>
      </m:oMath>
      <w:r>
        <w:t xml:space="preserve">Pb is not longer detected, i.e., reaching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oMath>
      <w:r>
        <w:t xml:space="preserve">Pb activity accumulated in the sediment column, between the surface and the equilibrium depth, where excess</w:t>
      </w:r>
      <w:r>
        <w:t xml:space="preserve"> </w:t>
      </w:r>
      <m:oMath>
        <m:sSup>
          <m:e>
            <m:r>
              <m:t>​</m:t>
            </m:r>
          </m:e>
          <m:sup>
            <m:r>
              <m:t>210</m:t>
            </m:r>
          </m:sup>
        </m:sSup>
      </m:oMath>
      <w:r>
        <w:t xml:space="preserve">Pb can no longer be detected) and the remaining inventory from depth x 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 ^210Pb sediments and is receiving growing interest from the palaeoecological community, with more applications since its publication than the CF:CS model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based on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ages resulting from applying the Plum, CIC, CRS and CF:CS models to the dataset in Table 1 and [@Sanchez-Cabeza2012]"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 runs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that were then sampled.</w:t>
      </w:r>
      <w:r>
        <w:t xml:space="preserve"> </w:t>
      </w:r>
      <w:r>
        <w:t xml:space="preserve">Sampling on this datasets mimics the sampling each laboratory, or</w:t>
      </w:r>
      <w:r>
        <w:t xml:space="preserve"> </w:t>
      </w:r>
      <m:oMath>
        <m:sSup>
          <m:e>
            <m:r>
              <m:t>​</m:t>
            </m:r>
          </m:e>
          <m:sup>
            <m:r>
              <m:t>210</m:t>
            </m:r>
          </m:sup>
        </m:sSup>
      </m:oMath>
      <w:r>
        <w:t xml:space="preserve">Pb user, do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we can define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information percentage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biases do improves with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support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widely-used in pollution, environmental and climate change studies, which potentially have a high impact on both policy-making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2021-07-17T04:56:12Z</dcterms:created>
  <dcterms:modified xsi:type="dcterms:W3CDTF">2021-07-17T04:56:12Z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and its Bayesian alternative (Plum). To do so, we created simulated depth ^{210}Pb profiles following three different sedimentation processes, complying with the assumptions imposed by the CRS model, and analysed them using both approaches. It is important to note that different laboratories vary in their application of the CRS model. Results indicate that the CRS model, used in a non-expert mode, does not capture the true age values, even with a high dating resolution of the sediment record, nor does its accuracy improve as more information is available. On the other hand, the Bayesian alternative (Plum) provides consistently more accurate results even with a relatively small samples size, and its accuracy and precision constantly improve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